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4"/>
      </w:tblGrid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34BDA">
              <w:rPr>
                <w:rFonts w:ascii="Liberation Serif" w:hAnsi="Liberation Serif"/>
                <w:b/>
                <w:sz w:val="24"/>
              </w:rPr>
              <w:t>Основная образовательная программа основного общего образования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  <w:bookmarkStart w:id="0" w:name="_GoBack"/>
            <w:bookmarkEnd w:id="0"/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834BDA"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6B74EE" w:rsidRPr="00834BDA" w:rsidRDefault="006B74EE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Литература, Родной язык (русский), Родная литература (русская), Иностранный язык (немецкий), Второй иностранный язык (английский), Математика, Алгебра, Геометрия, Информатика, История России.</w:t>
            </w:r>
            <w:proofErr w:type="gramEnd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</w:t>
            </w:r>
            <w:proofErr w:type="gramEnd"/>
          </w:p>
          <w:p w:rsidR="006B74EE" w:rsidRPr="00834BDA" w:rsidRDefault="006B74EE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34BDA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6B74EE" w:rsidRPr="0076562C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76562C">
              <w:rPr>
                <w:rFonts w:ascii="Liberation Serif" w:hAnsi="Liberation Serif"/>
                <w:sz w:val="24"/>
              </w:rPr>
              <w:t xml:space="preserve">Физическая культура (Спортивные игры), Введение в обществознание. Географическое краеведение. Основы </w:t>
            </w:r>
            <w:proofErr w:type="gramStart"/>
            <w:r w:rsidRPr="0076562C">
              <w:rPr>
                <w:rFonts w:ascii="Liberation Serif" w:hAnsi="Liberation Serif"/>
                <w:sz w:val="24"/>
              </w:rPr>
              <w:t>смыслового</w:t>
            </w:r>
            <w:proofErr w:type="gramEnd"/>
            <w:r w:rsidRPr="0076562C">
              <w:rPr>
                <w:rFonts w:ascii="Liberation Serif" w:hAnsi="Liberation Serif"/>
                <w:sz w:val="24"/>
              </w:rPr>
              <w:t xml:space="preserve"> чтение и работа с текстом.</w:t>
            </w:r>
          </w:p>
          <w:p w:rsidR="006B74EE" w:rsidRPr="0076562C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76562C">
              <w:rPr>
                <w:rFonts w:ascii="Liberation Serif" w:hAnsi="Liberation Serif"/>
                <w:sz w:val="24"/>
                <w:u w:val="single"/>
              </w:rPr>
              <w:t>Внеурочная деятельность</w:t>
            </w:r>
          </w:p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 w:rsidRPr="0076562C">
              <w:rPr>
                <w:rFonts w:ascii="Liberation Serif" w:hAnsi="Liberation Serif"/>
                <w:sz w:val="24"/>
              </w:rPr>
              <w:t>Юные пожарные, Профессиональное самоопределение – Мир профессии, Школьная газета.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6B74EE" w:rsidRPr="00834BDA" w:rsidTr="00B235E8">
        <w:tc>
          <w:tcPr>
            <w:tcW w:w="5063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074" w:type="dxa"/>
            <w:shd w:val="clear" w:color="auto" w:fill="auto"/>
          </w:tcPr>
          <w:p w:rsidR="006B74EE" w:rsidRPr="00834BDA" w:rsidRDefault="006B74EE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F0DAB" w:rsidRDefault="00EF0DAB"/>
    <w:sectPr w:rsidR="00EF0DAB" w:rsidSect="006B74E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D"/>
    <w:rsid w:val="004E05AD"/>
    <w:rsid w:val="006B74EE"/>
    <w:rsid w:val="00B235E8"/>
    <w:rsid w:val="00BE7486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B7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B7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2021-01-29T18:48:00Z</dcterms:created>
  <dcterms:modified xsi:type="dcterms:W3CDTF">2021-01-29T19:05:00Z</dcterms:modified>
</cp:coreProperties>
</file>